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A44" w:rsidRPr="00C52C39" w:rsidRDefault="00B54A44" w:rsidP="00B54A44">
      <w:pPr>
        <w:spacing w:after="0"/>
        <w:rPr>
          <w:rFonts w:ascii="Aptos" w:hAnsi="Aptos"/>
          <w:b/>
          <w:sz w:val="24"/>
          <w:szCs w:val="24"/>
        </w:rPr>
      </w:pPr>
    </w:p>
    <w:tbl>
      <w:tblPr>
        <w:tblpPr w:leftFromText="180" w:rightFromText="180" w:vertAnchor="text" w:horzAnchor="margin" w:tblpX="-744" w:tblpY="-54"/>
        <w:tblW w:w="1073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977"/>
        <w:gridCol w:w="3651"/>
        <w:gridCol w:w="4111"/>
      </w:tblGrid>
      <w:tr w:rsidR="00465F80" w:rsidRPr="00C52C39" w:rsidTr="00465F80">
        <w:trPr>
          <w:trHeight w:val="2840"/>
        </w:trPr>
        <w:tc>
          <w:tcPr>
            <w:tcW w:w="2977" w:type="dxa"/>
            <w:vAlign w:val="center"/>
          </w:tcPr>
          <w:p w:rsidR="00465F80" w:rsidRPr="00C52C39" w:rsidRDefault="00465F80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bCs/>
                <w:lang w:eastAsia="en-US"/>
              </w:rPr>
            </w:pPr>
            <w:r w:rsidRPr="00C52C39">
              <w:rPr>
                <w:rFonts w:ascii="Aptos" w:hAnsi="Aptos" w:cs="Calibri"/>
                <w:b/>
                <w:bCs/>
                <w:lang w:eastAsia="en-US"/>
              </w:rPr>
              <w:object w:dxaOrig="270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25pt;height:50.75pt" o:ole="" filled="t">
                  <v:fill color2="black"/>
                  <v:imagedata r:id="rId7" o:title=""/>
                </v:shape>
                <o:OLEObject Type="Embed" ProgID="PBrush" ShapeID="_x0000_i1025" DrawAspect="Content" ObjectID="_1844938979" r:id="rId8"/>
              </w:object>
            </w:r>
          </w:p>
          <w:p w:rsidR="00465F80" w:rsidRPr="00C52C39" w:rsidRDefault="00465F80" w:rsidP="00465F80">
            <w:pPr>
              <w:tabs>
                <w:tab w:val="num" w:pos="0"/>
              </w:tabs>
              <w:spacing w:after="0"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</w:pP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>ΕΛΛΗΝΙΚΗ ΔΗΜΟΚΡΑΤΙΑ</w:t>
            </w:r>
          </w:p>
          <w:p w:rsidR="00465F80" w:rsidRPr="00C52C39" w:rsidRDefault="00465F80" w:rsidP="00465F80">
            <w:pPr>
              <w:tabs>
                <w:tab w:val="num" w:pos="0"/>
              </w:tabs>
              <w:spacing w:after="0"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</w:pP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>ΥΠΟΥΡΓΕΙΟ ΑΓΡΟΤΙΚΗΣ</w:t>
            </w:r>
          </w:p>
          <w:p w:rsidR="00465F80" w:rsidRPr="00C52C39" w:rsidRDefault="00465F80" w:rsidP="00465F80">
            <w:pPr>
              <w:tabs>
                <w:tab w:val="num" w:pos="0"/>
              </w:tabs>
              <w:spacing w:after="0"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</w:pP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>ΑΝΑΠΤΥΞΗΣ &amp; ΤΡΟΦΙΜΩΝ</w:t>
            </w:r>
          </w:p>
          <w:p w:rsidR="00465F80" w:rsidRPr="00C52C39" w:rsidRDefault="00465F80" w:rsidP="00465F80">
            <w:pPr>
              <w:tabs>
                <w:tab w:val="num" w:pos="0"/>
              </w:tabs>
              <w:spacing w:after="0"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</w:pP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 xml:space="preserve">ΓΕΝΙΚΗ ΓΡΑΜΜΑΤΕΙΑ </w:t>
            </w:r>
            <w:r w:rsidRPr="00C52C39">
              <w:rPr>
                <w:rFonts w:ascii="Aptos" w:hAnsi="Aptos"/>
                <w:sz w:val="20"/>
                <w:szCs w:val="20"/>
                <w:lang w:eastAsia="en-US"/>
              </w:rPr>
              <w:t xml:space="preserve"> </w:t>
            </w: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 xml:space="preserve">ΕΝΩΣΙΑΚΩΝ ΠΟΡΩΝ </w:t>
            </w:r>
          </w:p>
          <w:p w:rsidR="00465F80" w:rsidRPr="00C52C39" w:rsidRDefault="00465F80" w:rsidP="00465F80">
            <w:pPr>
              <w:tabs>
                <w:tab w:val="num" w:pos="0"/>
              </w:tabs>
              <w:spacing w:after="0"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</w:pP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>ΚΑΙ ΥΠΟΔΟΜΩΝ</w:t>
            </w:r>
          </w:p>
          <w:p w:rsidR="00465F80" w:rsidRPr="00C52C39" w:rsidRDefault="00465F80" w:rsidP="00465F80">
            <w:pPr>
              <w:tabs>
                <w:tab w:val="num" w:pos="0"/>
              </w:tabs>
              <w:spacing w:after="0" w:line="200" w:lineRule="atLeast"/>
              <w:jc w:val="center"/>
              <w:rPr>
                <w:rFonts w:ascii="Aptos" w:hAnsi="Aptos" w:cs="Calibri"/>
                <w:b/>
                <w:bCs/>
                <w:lang w:eastAsia="en-US"/>
              </w:rPr>
            </w:pP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>ΕΙΔΙΚΗ ΥΠΗΡΕΣΙΑ</w:t>
            </w:r>
            <w:r w:rsidRPr="00C52C39">
              <w:rPr>
                <w:rFonts w:ascii="Aptos" w:hAnsi="Aptos"/>
                <w:sz w:val="20"/>
                <w:szCs w:val="20"/>
                <w:lang w:eastAsia="en-US"/>
              </w:rPr>
              <w:t xml:space="preserve"> </w:t>
            </w: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 xml:space="preserve">ΕΦΑΡΜΟΓΗΣ  </w:t>
            </w:r>
            <w:r w:rsidRPr="00C52C39">
              <w:rPr>
                <w:rFonts w:ascii="Aptos" w:hAnsi="Aptos"/>
                <w:sz w:val="20"/>
                <w:szCs w:val="20"/>
                <w:lang w:eastAsia="en-US"/>
              </w:rPr>
              <w:t xml:space="preserve"> </w:t>
            </w:r>
            <w:r w:rsidRPr="00C52C39">
              <w:rPr>
                <w:rFonts w:ascii="Aptos" w:hAnsi="Aptos" w:cs="Calibri"/>
                <w:b/>
                <w:bCs/>
                <w:sz w:val="20"/>
                <w:szCs w:val="20"/>
                <w:lang w:eastAsia="en-US"/>
              </w:rPr>
              <w:t>ΠΑΡΕΜΒΑΣΕΩΝ ΑΓΡΟΤΙΚΗΣ ΑΝΑΠΤΥΞΗΣ</w:t>
            </w:r>
          </w:p>
        </w:tc>
        <w:tc>
          <w:tcPr>
            <w:tcW w:w="3651" w:type="dxa"/>
          </w:tcPr>
          <w:p w:rsidR="00465F80" w:rsidRPr="00C52C39" w:rsidRDefault="00465F80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lang w:eastAsia="en-US"/>
              </w:rPr>
            </w:pPr>
          </w:p>
          <w:p w:rsidR="00465F80" w:rsidRPr="00C52C39" w:rsidRDefault="00465F80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lang w:eastAsia="en-US"/>
              </w:rPr>
            </w:pPr>
          </w:p>
          <w:p w:rsidR="00465F80" w:rsidRPr="00C52C39" w:rsidRDefault="00465F80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lang w:eastAsia="en-US"/>
              </w:rPr>
            </w:pPr>
          </w:p>
          <w:p w:rsidR="00465F80" w:rsidRPr="00C52C39" w:rsidRDefault="00465F80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lang w:eastAsia="en-US"/>
              </w:rPr>
            </w:pPr>
            <w:r w:rsidRPr="00C52C39">
              <w:rPr>
                <w:rFonts w:ascii="Aptos" w:hAnsi="Aptos" w:cs="Calibri"/>
                <w:b/>
                <w:noProof/>
              </w:rPr>
              <w:drawing>
                <wp:inline distT="0" distB="0" distL="0" distR="0">
                  <wp:extent cx="1201420" cy="988192"/>
                  <wp:effectExtent l="0" t="0" r="0" b="2540"/>
                  <wp:docPr id="141324103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3241032" name="Εικόνα 141324103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109" cy="992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vAlign w:val="center"/>
          </w:tcPr>
          <w:p w:rsidR="00465F80" w:rsidRPr="00C52C39" w:rsidRDefault="00465F80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lang w:eastAsia="en-US"/>
              </w:rPr>
            </w:pPr>
            <w:r w:rsidRPr="00C52C39">
              <w:rPr>
                <w:rFonts w:ascii="Aptos" w:hAnsi="Aptos" w:cs="Calibri"/>
                <w:b/>
                <w:noProof/>
              </w:rPr>
              <w:drawing>
                <wp:inline distT="0" distB="0" distL="0" distR="0">
                  <wp:extent cx="1962785" cy="1517545"/>
                  <wp:effectExtent l="0" t="0" r="0" b="6985"/>
                  <wp:docPr id="1212150518" name="Εικόνα 1" descr="Εικόνα που περιέχει κείμενο, γραμματοσειρά, λογότυπο, σύμβολο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2150518" name="Εικόνα 1" descr="Εικόνα που περιέχει κείμενο, γραμματοσειρά, λογότυπο, σύμβολο&#10;&#10;Περιγραφή που δημιουργήθηκε αυτόματα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151" cy="1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4EA9" w:rsidRPr="00C52C39" w:rsidRDefault="00BE4EA9" w:rsidP="00B54A44">
      <w:pPr>
        <w:spacing w:after="0"/>
        <w:rPr>
          <w:rFonts w:ascii="Aptos" w:hAnsi="Aptos"/>
          <w:b/>
          <w:sz w:val="24"/>
          <w:szCs w:val="24"/>
        </w:rPr>
      </w:pPr>
    </w:p>
    <w:p w:rsidR="00BE4EA9" w:rsidRPr="00EC57B2" w:rsidRDefault="00BE4EA9" w:rsidP="00BE4EA9">
      <w:pPr>
        <w:spacing w:after="0" w:line="240" w:lineRule="auto"/>
        <w:jc w:val="center"/>
        <w:rPr>
          <w:rFonts w:ascii="Aptos" w:eastAsia="Times New Roman" w:hAnsi="Aptos" w:cs="Calibri"/>
          <w:b/>
          <w:sz w:val="28"/>
          <w:szCs w:val="28"/>
        </w:rPr>
      </w:pPr>
      <w:bookmarkStart w:id="0" w:name="_Hlk200965982"/>
      <w:bookmarkStart w:id="1" w:name="_Hlk200966540"/>
      <w:r w:rsidRPr="00EC57B2">
        <w:rPr>
          <w:rFonts w:ascii="Aptos" w:eastAsia="Times New Roman" w:hAnsi="Aptos" w:cs="Calibri"/>
          <w:b/>
          <w:sz w:val="28"/>
          <w:szCs w:val="28"/>
        </w:rPr>
        <w:t>ΣΤΡΑΤΗΓΙΚΟ ΣΧΕΔΙΟ ΚΟΙΝΗΣ ΑΓΡΟΤΙΚΗΣ ΠΟΛΙΤΙΚΗΣ (ΣΣ ΚΑΠ) 2023</w:t>
      </w:r>
      <w:r w:rsidR="009E0398" w:rsidRPr="00EC57B2">
        <w:rPr>
          <w:rFonts w:ascii="Aptos" w:eastAsia="Times New Roman" w:hAnsi="Aptos" w:cs="Calibri"/>
          <w:b/>
          <w:sz w:val="28"/>
          <w:szCs w:val="28"/>
        </w:rPr>
        <w:t>-</w:t>
      </w:r>
      <w:r w:rsidRPr="00EC57B2">
        <w:rPr>
          <w:rFonts w:ascii="Aptos" w:eastAsia="Times New Roman" w:hAnsi="Aptos" w:cs="Calibri"/>
          <w:b/>
          <w:sz w:val="28"/>
          <w:szCs w:val="28"/>
        </w:rPr>
        <w:t>2027</w:t>
      </w:r>
    </w:p>
    <w:p w:rsidR="00BE4EA9" w:rsidRPr="00EC57B2" w:rsidRDefault="00BE4EA9" w:rsidP="00BE4EA9">
      <w:pPr>
        <w:spacing w:after="0" w:line="240" w:lineRule="auto"/>
        <w:jc w:val="center"/>
        <w:rPr>
          <w:rFonts w:ascii="Aptos" w:eastAsia="Times New Roman" w:hAnsi="Aptos" w:cs="Calibri"/>
          <w:b/>
          <w:sz w:val="28"/>
          <w:szCs w:val="28"/>
        </w:rPr>
      </w:pPr>
    </w:p>
    <w:p w:rsidR="00BE4EA9" w:rsidRPr="00EC57B2" w:rsidRDefault="00BE4EA9" w:rsidP="009E0398">
      <w:pPr>
        <w:spacing w:after="0" w:line="240" w:lineRule="auto"/>
        <w:jc w:val="center"/>
        <w:rPr>
          <w:rFonts w:ascii="Aptos" w:eastAsia="Times New Roman" w:hAnsi="Aptos" w:cs="Calibri"/>
          <w:b/>
          <w:sz w:val="28"/>
          <w:szCs w:val="28"/>
        </w:rPr>
      </w:pPr>
      <w:r w:rsidRPr="00EC57B2">
        <w:rPr>
          <w:rFonts w:ascii="Aptos" w:eastAsia="Times New Roman" w:hAnsi="Aptos" w:cs="Calibri"/>
          <w:b/>
          <w:sz w:val="28"/>
          <w:szCs w:val="28"/>
        </w:rPr>
        <w:t>ΠΑΡΕΜΒΑΣΗ Π3-77-4.1 «ΣΤΗΡΙΞΗ ΓΙΑ ΤΟΠΙΚΗ ΑΝΑΠΤΥΞΗ ΜΕΣΩ ΤΟΥ LEADER</w:t>
      </w:r>
      <w:r w:rsidR="009E0398" w:rsidRPr="00EC57B2">
        <w:rPr>
          <w:rFonts w:ascii="Aptos" w:eastAsia="Times New Roman" w:hAnsi="Aptos" w:cs="Calibri"/>
          <w:b/>
          <w:sz w:val="28"/>
          <w:szCs w:val="28"/>
        </w:rPr>
        <w:t xml:space="preserve"> </w:t>
      </w:r>
      <w:r w:rsidRPr="00EC57B2">
        <w:rPr>
          <w:rFonts w:ascii="Aptos" w:eastAsia="Times New Roman" w:hAnsi="Aptos" w:cs="Calibri"/>
          <w:b/>
          <w:sz w:val="28"/>
          <w:szCs w:val="28"/>
        </w:rPr>
        <w:t>(ΤΑΠΤΟΚ - ΤΟΠΙΚΗ ΑΝΑΠΤΥΞΗ ΜΕ ΠΡΩΤΟΒΟΥΛΙΑ ΤΟΠΙΚΩΝ ΚΟΙΝΟΤΗΤΩΝ)»</w:t>
      </w:r>
      <w:r w:rsidR="009E0398" w:rsidRPr="00EC57B2">
        <w:rPr>
          <w:rFonts w:ascii="Aptos" w:eastAsia="Times New Roman" w:hAnsi="Aptos" w:cs="Calibri"/>
          <w:b/>
          <w:sz w:val="28"/>
          <w:szCs w:val="28"/>
        </w:rPr>
        <w:t xml:space="preserve"> </w:t>
      </w:r>
      <w:r w:rsidRPr="00EC57B2">
        <w:rPr>
          <w:rFonts w:ascii="Aptos" w:eastAsia="Times New Roman" w:hAnsi="Aptos" w:cs="Calibri"/>
          <w:b/>
          <w:sz w:val="28"/>
          <w:szCs w:val="28"/>
        </w:rPr>
        <w:t>για ΠΡΑΞΕΙΣ ΔΗΜΟΣΙΟΥ ΧΑΡΑΚΤΗΡΑ</w:t>
      </w:r>
    </w:p>
    <w:p w:rsidR="00B21E01" w:rsidRPr="00EC57B2" w:rsidRDefault="00B21E01" w:rsidP="009E0398">
      <w:pPr>
        <w:spacing w:after="0" w:line="240" w:lineRule="auto"/>
        <w:jc w:val="center"/>
        <w:rPr>
          <w:rFonts w:ascii="Aptos" w:eastAsia="Times New Roman" w:hAnsi="Aptos" w:cs="Calibri"/>
          <w:b/>
          <w:sz w:val="28"/>
          <w:szCs w:val="28"/>
        </w:rPr>
      </w:pPr>
    </w:p>
    <w:p w:rsidR="00B21E01" w:rsidRPr="00EC57B2" w:rsidRDefault="003370D9" w:rsidP="009E0398">
      <w:pPr>
        <w:spacing w:after="0" w:line="240" w:lineRule="auto"/>
        <w:jc w:val="center"/>
        <w:rPr>
          <w:rFonts w:ascii="Aptos" w:eastAsia="Times New Roman" w:hAnsi="Aptos" w:cs="Calibri"/>
          <w:b/>
          <w:sz w:val="28"/>
          <w:szCs w:val="28"/>
        </w:rPr>
      </w:pPr>
      <w:r w:rsidRPr="003370D9">
        <w:rPr>
          <w:rFonts w:ascii="Aptos" w:hAnsi="Aptos" w:cstheme="minorHAnsi"/>
          <w:noProof/>
        </w:rPr>
        <w:drawing>
          <wp:inline distT="0" distB="0" distL="0" distR="0">
            <wp:extent cx="2872145" cy="935542"/>
            <wp:effectExtent l="19050" t="0" r="4405" b="0"/>
            <wp:docPr id="4" name="1 - Εικόνα" descr="leader_logo_G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der_logo_GR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9162" cy="93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EA9" w:rsidRPr="00EC57B2" w:rsidRDefault="00BE4EA9" w:rsidP="00B84542">
      <w:pPr>
        <w:spacing w:after="0" w:line="240" w:lineRule="auto"/>
        <w:rPr>
          <w:rFonts w:ascii="Aptos" w:eastAsia="Times New Roman" w:hAnsi="Aptos" w:cs="Calibri"/>
          <w:b/>
          <w:sz w:val="28"/>
          <w:szCs w:val="28"/>
        </w:rPr>
      </w:pPr>
    </w:p>
    <w:p w:rsidR="00465F80" w:rsidRPr="00EC57B2" w:rsidRDefault="00BE4EA9" w:rsidP="009E0398">
      <w:pPr>
        <w:jc w:val="center"/>
        <w:rPr>
          <w:rFonts w:ascii="Aptos" w:eastAsia="Times New Roman" w:hAnsi="Aptos" w:cs="Calibri"/>
          <w:b/>
          <w:sz w:val="28"/>
          <w:szCs w:val="28"/>
        </w:rPr>
      </w:pPr>
      <w:r w:rsidRPr="00EC57B2">
        <w:rPr>
          <w:rFonts w:ascii="Aptos" w:eastAsia="Times New Roman" w:hAnsi="Aptos" w:cs="Calibri"/>
          <w:b/>
          <w:sz w:val="28"/>
          <w:szCs w:val="28"/>
        </w:rPr>
        <w:t>Η ΟΠΟΙΑ ΣΥΓΧΡΗΜΑΤΟΔΟΤΕΙΤΑΙ ΑΠΟ ΤΟ ΕΥΡΩΠΑΙΚΟ ΓΕΩΡΓΙΚΟ ΤΑΜΕΙΟ ΑΓΡΟΤΙΚΗΣ ΑΝΑΠΤΥΞΗΣ</w:t>
      </w:r>
      <w:bookmarkEnd w:id="0"/>
    </w:p>
    <w:tbl>
      <w:tblPr>
        <w:tblStyle w:val="ac"/>
        <w:tblW w:w="7934" w:type="dxa"/>
        <w:jc w:val="center"/>
        <w:shd w:val="clear" w:color="auto" w:fill="D9BFCA"/>
        <w:tblLook w:val="04A0"/>
      </w:tblPr>
      <w:tblGrid>
        <w:gridCol w:w="7934"/>
      </w:tblGrid>
      <w:tr w:rsidR="00BE4EA9" w:rsidRPr="00EC57B2" w:rsidTr="00E90F88">
        <w:trPr>
          <w:trHeight w:val="1507"/>
          <w:jc w:val="center"/>
        </w:trPr>
        <w:tc>
          <w:tcPr>
            <w:tcW w:w="7934" w:type="dxa"/>
            <w:shd w:val="clear" w:color="auto" w:fill="D9BFCA"/>
            <w:vAlign w:val="center"/>
          </w:tcPr>
          <w:bookmarkEnd w:id="1"/>
          <w:p w:rsidR="00BE4EA9" w:rsidRPr="00EC57B2" w:rsidRDefault="00BE4EA9" w:rsidP="005A5809">
            <w:pPr>
              <w:spacing w:after="0" w:line="260" w:lineRule="atLeas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 w:rsidRPr="00EC57B2">
              <w:rPr>
                <w:rFonts w:ascii="Aptos" w:hAnsi="Aptos" w:cstheme="minorHAnsi"/>
                <w:b/>
                <w:sz w:val="28"/>
                <w:szCs w:val="28"/>
              </w:rPr>
              <w:t xml:space="preserve">ΠΑΡΑΡΤΗΜΑ </w:t>
            </w:r>
            <w:r w:rsidR="005A5809" w:rsidRPr="00EC57B2">
              <w:rPr>
                <w:rFonts w:ascii="Aptos" w:hAnsi="Aptos" w:cstheme="minorHAnsi"/>
                <w:b/>
                <w:sz w:val="28"/>
                <w:szCs w:val="28"/>
              </w:rPr>
              <w:t>10</w:t>
            </w:r>
            <w:r w:rsidRPr="00EC57B2">
              <w:rPr>
                <w:rFonts w:ascii="Aptos" w:hAnsi="Aptos" w:cstheme="minorHAnsi"/>
                <w:b/>
                <w:sz w:val="28"/>
                <w:szCs w:val="28"/>
              </w:rPr>
              <w:t xml:space="preserve">  – </w:t>
            </w:r>
            <w:r w:rsidR="00EC57B2" w:rsidRPr="00EC57B2">
              <w:rPr>
                <w:rFonts w:ascii="Aptos" w:hAnsi="Aptos" w:cstheme="minorHAnsi"/>
                <w:b/>
                <w:sz w:val="28"/>
                <w:szCs w:val="28"/>
              </w:rPr>
              <w:t xml:space="preserve"> </w:t>
            </w:r>
            <w:r w:rsidR="005A5809" w:rsidRPr="00EC57B2">
              <w:rPr>
                <w:rFonts w:ascii="Aptos" w:hAnsi="Aptos" w:cstheme="minorHAnsi"/>
                <w:b/>
                <w:sz w:val="28"/>
                <w:szCs w:val="28"/>
              </w:rPr>
              <w:t xml:space="preserve">ΥΠΟΣΤΗΡΙΚΤΙΚΗ ΛΙΣΤΑ </w:t>
            </w:r>
            <w:r w:rsidR="006A73C3" w:rsidRPr="00EC57B2">
              <w:rPr>
                <w:rFonts w:ascii="Aptos" w:hAnsi="Aptos" w:cstheme="minorHAnsi"/>
                <w:b/>
                <w:sz w:val="28"/>
                <w:szCs w:val="28"/>
              </w:rPr>
              <w:t>ΣΤΗΝ ΑΞΙΟΛΟΓΗΣΗ ΚΑΙ ΕΠΙΛΟΓΗ ΠΡΟΤΑΣΕΩΝ ΚΑΙ ΣΤΗΝ ΕΠΑΛΗΘΕΥΣΗ ΤΩΝ ΠΡΑΞΕΩΝ ΒΑΣΕΙ ΤΟΥ ΧΑΡΤΗ ΘΕΜΕΛΙ</w:t>
            </w:r>
            <w:r w:rsidR="007929A2" w:rsidRPr="00EC57B2">
              <w:rPr>
                <w:rFonts w:ascii="Aptos" w:hAnsi="Aptos" w:cstheme="minorHAnsi"/>
                <w:b/>
                <w:sz w:val="28"/>
                <w:szCs w:val="28"/>
              </w:rPr>
              <w:t>ΩΔΩΝ ΔΙΚΑΙΩΜΑΤΩΝ</w:t>
            </w:r>
          </w:p>
        </w:tc>
      </w:tr>
    </w:tbl>
    <w:p w:rsidR="00465F80" w:rsidRPr="00EC57B2" w:rsidRDefault="00465F80" w:rsidP="00B54A44">
      <w:pPr>
        <w:spacing w:after="0"/>
        <w:rPr>
          <w:rFonts w:ascii="Aptos" w:hAnsi="Aptos"/>
          <w:b/>
          <w:sz w:val="24"/>
          <w:szCs w:val="24"/>
        </w:rPr>
      </w:pPr>
    </w:p>
    <w:p w:rsidR="00465F80" w:rsidRPr="00EC57B2" w:rsidRDefault="006F5FC6" w:rsidP="00E90F88">
      <w:pPr>
        <w:spacing w:after="0"/>
        <w:jc w:val="center"/>
        <w:rPr>
          <w:rFonts w:ascii="Aptos" w:hAnsi="Aptos"/>
          <w:b/>
          <w:sz w:val="24"/>
          <w:szCs w:val="24"/>
        </w:rPr>
      </w:pPr>
      <w:r>
        <w:rPr>
          <w:rFonts w:ascii="Aptos" w:hAnsi="Aptos"/>
          <w:b/>
          <w:noProof/>
          <w:sz w:val="24"/>
          <w:szCs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2951018</wp:posOffset>
            </wp:positionH>
            <wp:positionV relativeFrom="page">
              <wp:posOffset>7460673</wp:posOffset>
            </wp:positionV>
            <wp:extent cx="2250956" cy="935182"/>
            <wp:effectExtent l="1905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0581" cy="9350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5F80" w:rsidRPr="00EC57B2" w:rsidRDefault="00465F80" w:rsidP="00C52C39">
      <w:pPr>
        <w:spacing w:after="0"/>
        <w:jc w:val="center"/>
        <w:rPr>
          <w:rFonts w:ascii="Aptos" w:hAnsi="Aptos"/>
          <w:b/>
          <w:sz w:val="24"/>
          <w:szCs w:val="24"/>
        </w:rPr>
      </w:pPr>
    </w:p>
    <w:p w:rsidR="006F5FC6" w:rsidRDefault="006F5FC6" w:rsidP="00C52C39">
      <w:pPr>
        <w:tabs>
          <w:tab w:val="num" w:pos="0"/>
        </w:tabs>
        <w:spacing w:line="220" w:lineRule="atLeast"/>
        <w:jc w:val="center"/>
        <w:rPr>
          <w:rFonts w:ascii="Aptos" w:hAnsi="Aptos" w:cstheme="minorHAnsi"/>
          <w:b/>
          <w:sz w:val="28"/>
          <w:szCs w:val="28"/>
        </w:rPr>
      </w:pPr>
    </w:p>
    <w:p w:rsidR="006F5FC6" w:rsidRDefault="006F5FC6" w:rsidP="00C52C39">
      <w:pPr>
        <w:tabs>
          <w:tab w:val="num" w:pos="0"/>
        </w:tabs>
        <w:spacing w:line="220" w:lineRule="atLeast"/>
        <w:jc w:val="center"/>
        <w:rPr>
          <w:rFonts w:ascii="Aptos" w:hAnsi="Aptos" w:cstheme="minorHAnsi"/>
          <w:b/>
          <w:sz w:val="28"/>
          <w:szCs w:val="28"/>
        </w:rPr>
      </w:pPr>
    </w:p>
    <w:p w:rsidR="006F5FC6" w:rsidRDefault="006F5FC6" w:rsidP="00C52C39">
      <w:pPr>
        <w:tabs>
          <w:tab w:val="num" w:pos="0"/>
        </w:tabs>
        <w:spacing w:line="220" w:lineRule="atLeast"/>
        <w:jc w:val="center"/>
        <w:rPr>
          <w:rFonts w:ascii="Aptos" w:hAnsi="Aptos" w:cstheme="minorHAnsi"/>
          <w:b/>
          <w:sz w:val="28"/>
          <w:szCs w:val="28"/>
        </w:rPr>
      </w:pPr>
    </w:p>
    <w:p w:rsidR="007929A2" w:rsidRPr="00EC57B2" w:rsidRDefault="006F5FC6" w:rsidP="006F5FC6">
      <w:pPr>
        <w:tabs>
          <w:tab w:val="num" w:pos="0"/>
        </w:tabs>
        <w:spacing w:line="220" w:lineRule="atLeast"/>
        <w:rPr>
          <w:rFonts w:ascii="Aptos" w:hAnsi="Aptos" w:cstheme="minorHAnsi"/>
          <w:b/>
          <w:sz w:val="28"/>
          <w:szCs w:val="28"/>
        </w:rPr>
        <w:sectPr w:rsidR="007929A2" w:rsidRPr="00EC57B2" w:rsidSect="00C52C39">
          <w:footerReference w:type="default" r:id="rId13"/>
          <w:pgSz w:w="11909" w:h="16860"/>
          <w:pgMar w:top="284" w:right="720" w:bottom="1560" w:left="1220" w:header="415" w:footer="720" w:gutter="0"/>
          <w:cols w:space="720"/>
        </w:sectPr>
      </w:pPr>
      <w:r>
        <w:rPr>
          <w:rFonts w:ascii="Aptos" w:hAnsi="Aptos" w:cstheme="minorHAnsi"/>
          <w:b/>
          <w:sz w:val="28"/>
          <w:szCs w:val="28"/>
        </w:rPr>
        <w:t xml:space="preserve">ΑΝΑΠΤΥΞΙΑΚΗ ΦΛΩΡΙΝΑΣ </w:t>
      </w:r>
      <w:r w:rsidR="009E0398" w:rsidRPr="00EC57B2">
        <w:rPr>
          <w:rFonts w:ascii="Aptos" w:hAnsi="Aptos" w:cstheme="minorHAnsi"/>
          <w:b/>
          <w:sz w:val="28"/>
          <w:szCs w:val="28"/>
        </w:rPr>
        <w:t xml:space="preserve"> - ΑΝΑΠΤΥΞΙΑΚΗ ΑΝΩΝΥΜΗ ΕΤΑΙΡΕΙΑ ΟΤΑ</w:t>
      </w:r>
    </w:p>
    <w:p w:rsidR="00465F80" w:rsidRPr="00EC57B2" w:rsidRDefault="00465F80" w:rsidP="00B21E01">
      <w:pPr>
        <w:tabs>
          <w:tab w:val="num" w:pos="0"/>
        </w:tabs>
        <w:spacing w:line="220" w:lineRule="atLeast"/>
        <w:jc w:val="center"/>
        <w:rPr>
          <w:rFonts w:ascii="Aptos" w:hAnsi="Aptos" w:cstheme="minorHAnsi"/>
          <w:b/>
          <w:sz w:val="20"/>
          <w:szCs w:val="20"/>
        </w:rPr>
      </w:pPr>
    </w:p>
    <w:p w:rsidR="007929A2" w:rsidRPr="00EC57B2" w:rsidRDefault="007929A2" w:rsidP="007929A2">
      <w:pPr>
        <w:jc w:val="center"/>
        <w:rPr>
          <w:rFonts w:ascii="Aptos" w:hAnsi="Aptos"/>
          <w:b/>
          <w:sz w:val="24"/>
          <w:szCs w:val="24"/>
        </w:rPr>
      </w:pPr>
      <w:r w:rsidRPr="00EC57B2">
        <w:rPr>
          <w:rFonts w:ascii="Aptos" w:hAnsi="Aptos"/>
          <w:b/>
          <w:sz w:val="24"/>
          <w:szCs w:val="24"/>
        </w:rPr>
        <w:t xml:space="preserve">ΥΠΟΣΤΗΡΙΚΤΙΚΗ ΛΙΣΤΑ ΣΤΗΝ ΑΞΙΟΛΟΓΗΣΗ ΚΑΙ ΕΠΙΛΟΓΗ ΤΩΝ ΠΡΟΤΑΣΕΩΝ ΚΑΙ ΣΤΗΝ ΕΠΑΛΗΘΕΥΣΗ ΤΩΝ ΠΡΑΞΕΩΝ ΒΑΣΕΙ ΤΟΥ ΧΑΡΤΗ ΘΕΜΕΛΙΩΔΩΝ ΔΙΚΑΙΩΜΑΤΩΝ </w:t>
      </w:r>
    </w:p>
    <w:tbl>
      <w:tblPr>
        <w:tblStyle w:val="ac"/>
        <w:tblW w:w="22256" w:type="dxa"/>
        <w:tblInd w:w="-856" w:type="dxa"/>
        <w:tblLook w:val="04A0"/>
      </w:tblPr>
      <w:tblGrid>
        <w:gridCol w:w="2127"/>
        <w:gridCol w:w="5811"/>
        <w:gridCol w:w="8081"/>
        <w:gridCol w:w="3118"/>
        <w:gridCol w:w="3119"/>
      </w:tblGrid>
      <w:tr w:rsidR="007929A2" w:rsidRPr="00F92DC4" w:rsidTr="00EC57B2">
        <w:trPr>
          <w:trHeight w:val="497"/>
        </w:trPr>
        <w:tc>
          <w:tcPr>
            <w:tcW w:w="2127" w:type="dxa"/>
            <w:vAlign w:val="center"/>
          </w:tcPr>
          <w:p w:rsidR="007929A2" w:rsidRPr="00F92DC4" w:rsidRDefault="007929A2" w:rsidP="005577A5">
            <w:pPr>
              <w:jc w:val="center"/>
              <w:rPr>
                <w:rFonts w:ascii="Aptos" w:hAnsi="Aptos" w:cs="Tahoma"/>
                <w:b/>
              </w:rPr>
            </w:pPr>
            <w:r w:rsidRPr="00F92DC4">
              <w:rPr>
                <w:rFonts w:ascii="Aptos" w:hAnsi="Aptos" w:cs="Tahoma"/>
                <w:b/>
              </w:rPr>
              <w:t>ΘΕΜΑΤΑ</w:t>
            </w:r>
          </w:p>
        </w:tc>
        <w:tc>
          <w:tcPr>
            <w:tcW w:w="5811" w:type="dxa"/>
            <w:vAlign w:val="center"/>
          </w:tcPr>
          <w:p w:rsidR="007929A2" w:rsidRPr="00F92DC4" w:rsidRDefault="007929A2" w:rsidP="005577A5">
            <w:pPr>
              <w:jc w:val="center"/>
              <w:rPr>
                <w:rFonts w:ascii="Aptos" w:hAnsi="Aptos" w:cs="Tahoma"/>
                <w:b/>
              </w:rPr>
            </w:pPr>
            <w:r w:rsidRPr="00F92DC4">
              <w:rPr>
                <w:rFonts w:ascii="Aptos" w:hAnsi="Aptos" w:cs="Tahoma"/>
                <w:b/>
              </w:rPr>
              <w:t>ΑΡΘΡΑ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jc w:val="center"/>
              <w:rPr>
                <w:rFonts w:ascii="Aptos" w:hAnsi="Aptos" w:cs="Tahoma"/>
                <w:b/>
              </w:rPr>
            </w:pPr>
            <w:r w:rsidRPr="00F92DC4">
              <w:rPr>
                <w:rFonts w:ascii="Aptos" w:hAnsi="Aptos" w:cs="Tahoma"/>
                <w:b/>
              </w:rPr>
              <w:t>ΕΡΩΤΗΜΑΤΑ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jc w:val="center"/>
              <w:rPr>
                <w:rFonts w:ascii="Aptos" w:hAnsi="Aptos" w:cs="Tahoma"/>
                <w:b/>
              </w:rPr>
            </w:pPr>
            <w:r w:rsidRPr="00F92DC4">
              <w:rPr>
                <w:rFonts w:ascii="Aptos" w:hAnsi="Aptos" w:cs="Tahoma"/>
                <w:b/>
              </w:rPr>
              <w:t xml:space="preserve">ΕΝΔΕΙΞΗ ΠΑΡΑΒΙΑΣΗΣ ΔΙΚΑΙΩΜΑΤΟΣ </w:t>
            </w: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jc w:val="center"/>
              <w:rPr>
                <w:rFonts w:ascii="Aptos" w:hAnsi="Aptos" w:cs="Tahoma"/>
                <w:b/>
              </w:rPr>
            </w:pPr>
            <w:r w:rsidRPr="00F92DC4">
              <w:rPr>
                <w:rFonts w:ascii="Aptos" w:hAnsi="Aptos" w:cs="Tahoma"/>
                <w:b/>
              </w:rPr>
              <w:t>ΣΧΟΛΙΑ - ΠΑΡΑΤΗΡΗΣΕΙΣ</w:t>
            </w:r>
          </w:p>
        </w:tc>
      </w:tr>
      <w:tr w:rsidR="007929A2" w:rsidRPr="00F92DC4" w:rsidTr="00EC57B2">
        <w:trPr>
          <w:trHeight w:val="454"/>
        </w:trPr>
        <w:tc>
          <w:tcPr>
            <w:tcW w:w="2127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Τίτλος Ι </w:t>
            </w:r>
            <w:r w:rsidRPr="00F92DC4">
              <w:rPr>
                <w:rFonts w:ascii="Aptos" w:hAnsi="Aptos" w:cs="Tahoma"/>
                <w:b/>
              </w:rPr>
              <w:t>«ΑΞΙΟΠΡΕΠΕΙΑ»</w:t>
            </w: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Ανθρώπινη αξιοπρέπεια </w:t>
            </w:r>
          </w:p>
        </w:tc>
        <w:tc>
          <w:tcPr>
            <w:tcW w:w="8081" w:type="dxa"/>
            <w:vMerge w:val="restart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  <w:lang w:val="en-US"/>
              </w:rPr>
            </w:pPr>
            <w:r w:rsidRPr="00F92DC4">
              <w:rPr>
                <w:rFonts w:ascii="Aptos" w:hAnsi="Aptos" w:cs="Tahoma"/>
              </w:rPr>
              <w:t xml:space="preserve">Εγείρονται κίνδυνοι για </w:t>
            </w:r>
            <w:r w:rsidRPr="00F92DC4">
              <w:rPr>
                <w:rFonts w:ascii="Aptos" w:hAnsi="Aptos" w:cs="Tahoma"/>
                <w:lang w:val="en-US"/>
              </w:rPr>
              <w:t>: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9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την ανθρώπινη αξιοπρέπεια, το δικαίωμα στη ζωή και την σωματική και διανοητική ακεραιότητα του προσώπου (εμπλεκόμενων, εργαζόμενων, ωφελούμενων)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9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βασανιστήρια ή απάνθρωπη ή εξευτελιστική μεταχείριση ή τιμωρία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9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αναγκαστική εργασία ή εμπορία ανθρώπινων όντων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9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(</w:t>
            </w:r>
            <w:proofErr w:type="spellStart"/>
            <w:r w:rsidRPr="00F92DC4">
              <w:rPr>
                <w:rFonts w:ascii="Aptos" w:hAnsi="Aptos" w:cs="Tahoma"/>
              </w:rPr>
              <w:t>βιο</w:t>
            </w:r>
            <w:proofErr w:type="spellEnd"/>
            <w:r w:rsidRPr="00F92DC4">
              <w:rPr>
                <w:rFonts w:ascii="Aptos" w:hAnsi="Aptos" w:cs="Tahoma"/>
              </w:rPr>
              <w:t xml:space="preserve">)ηθικά ζητήματα (κλωνοποίηση, μετατροπή του ανθρώπινου σώματος ή μερών του σε πηγή κέρδους, γενετική έρευνα/δοκιμή, χρήση γενετικών πληροφοριών </w:t>
            </w:r>
          </w:p>
        </w:tc>
        <w:tc>
          <w:tcPr>
            <w:tcW w:w="3118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454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στη ζωή κάθε προσώπου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454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στην ακεραιότητα του προσώπου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70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Απαγόρευση των βασανιστηρίων και των απάνθρωπων ή εξευτελιστικών ποινών ή μεταχείρισης  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5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Απαγόρευση της δουλείας και της αναγκαστικής εργασίας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Τίτλος ΙΙ </w:t>
            </w:r>
            <w:r w:rsidRPr="00F92DC4">
              <w:rPr>
                <w:rFonts w:ascii="Aptos" w:hAnsi="Aptos" w:cs="Tahoma"/>
                <w:b/>
              </w:rPr>
              <w:t>«ΕΛΕΥΘΕΡΙΕΣ»</w:t>
            </w: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στην ελευθερία και την ασφάλεια</w:t>
            </w:r>
          </w:p>
        </w:tc>
        <w:tc>
          <w:tcPr>
            <w:tcW w:w="8081" w:type="dxa"/>
            <w:vMerge w:val="restart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13"/>
              </w:numPr>
              <w:spacing w:after="0" w:line="280" w:lineRule="atLeast"/>
              <w:ind w:left="255" w:hanging="255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Θίγονται τα δικαιώματα της ελευθερίας και της ασφάλειας του ατόμου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3"/>
              </w:numPr>
              <w:spacing w:after="0" w:line="280" w:lineRule="atLeast"/>
              <w:ind w:left="255" w:hanging="255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Γίνεται σεβαστή η ιδιωτική ζωή του ατόμου (συμπεριλαμβανομένων της κατοικίας και επικοινωνίας του)</w:t>
            </w:r>
          </w:p>
        </w:tc>
        <w:tc>
          <w:tcPr>
            <w:tcW w:w="3118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Σεβασμός της ιδιωτικής και οικογενειακής ζωής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F92DC4">
        <w:trPr>
          <w:trHeight w:val="2246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Προστασία των δεδομένων προσωπικού χαρακτήρα 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Σε περίπτωση συλλογής προσωπικών δεδομένων, διασφαλίζεται: 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0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η ασφάλεια των δραστηριοτήτων επεξεργασίας δεδομένων σε τεχνικό και οργανωτικό επίπεδο, 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0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ότι η παρέμβαση καθίσταται σχετικά με την προστασία των δεδομένων αναλογική και αναγκαία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0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ότι υπάρχουν κατάλληλοι/ειδικοί μηχανισμοί ελέγχου και εποπτείας 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γάμου και δημιουργία οικογένειας</w:t>
            </w:r>
          </w:p>
        </w:tc>
        <w:tc>
          <w:tcPr>
            <w:tcW w:w="8081" w:type="dxa"/>
            <w:vMerge w:val="restart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  <w:lang w:val="en-US"/>
              </w:rPr>
            </w:pPr>
            <w:r w:rsidRPr="00F92DC4">
              <w:rPr>
                <w:rFonts w:ascii="Aptos" w:hAnsi="Aptos" w:cs="Tahoma"/>
              </w:rPr>
              <w:t xml:space="preserve">Θίγονται τα δικαιώματα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2"/>
              </w:numPr>
              <w:spacing w:after="0" w:line="280" w:lineRule="atLeast"/>
              <w:ind w:left="436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της σκέψης, συνείδησης, θρησκείας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2"/>
              </w:numPr>
              <w:spacing w:after="0" w:line="280" w:lineRule="atLeast"/>
              <w:ind w:left="436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της έκφρασης και πληροφόρησης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2"/>
              </w:numPr>
              <w:spacing w:after="0" w:line="280" w:lineRule="atLeast"/>
              <w:ind w:left="436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της τέχνης και επιστήμης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2"/>
              </w:numPr>
              <w:spacing w:after="0" w:line="280" w:lineRule="atLeast"/>
              <w:ind w:left="436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της εκπαίδευσης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2"/>
              </w:numPr>
              <w:spacing w:after="0" w:line="280" w:lineRule="atLeast"/>
              <w:ind w:left="436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της εργασίας και της ελευθερίας του επαγγέλματος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2"/>
              </w:numPr>
              <w:spacing w:after="0" w:line="280" w:lineRule="atLeast"/>
              <w:ind w:left="436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του συνέρχεστε και του συνεταιρίζεσθαι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2"/>
              </w:numPr>
              <w:spacing w:after="0" w:line="280" w:lineRule="atLeast"/>
              <w:ind w:left="436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του γάμου και δημιουργίας οικογένειας ή τη νομική, οικονομική και κοινωνική προστασία της οικογένειας 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2"/>
              </w:numPr>
              <w:spacing w:after="0" w:line="280" w:lineRule="atLeast"/>
              <w:ind w:left="436" w:hanging="283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Γίνεται σεβαστή η ελεύθερη κυκλοφορία του ατόμου στο εσωτερικό της ΕΕ </w:t>
            </w:r>
          </w:p>
        </w:tc>
        <w:tc>
          <w:tcPr>
            <w:tcW w:w="3118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Ελευθερία σκέψης, συνείδησης και θρησκείες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Ελευθερία έκφρασης και πληροφόρησης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Ελευθερία του συνέρχεστε και του συνεταιρίζεσθαι 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Ελευθερία της τέχνης και της επιστήμης 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εκπαίδευσης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F92DC4">
        <w:trPr>
          <w:trHeight w:val="1391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Ελευθερία του επαγγέλματος και δικαίωμα προς εργασία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1134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Επιχειρηματική ελευθερία</w:t>
            </w:r>
          </w:p>
        </w:tc>
        <w:tc>
          <w:tcPr>
            <w:tcW w:w="8081" w:type="dxa"/>
            <w:vMerge w:val="restart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11"/>
              </w:numPr>
              <w:spacing w:after="0" w:line="280" w:lineRule="atLeast"/>
              <w:ind w:left="255" w:hanging="255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φορείς;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1"/>
              </w:numPr>
              <w:spacing w:after="0" w:line="280" w:lineRule="atLeast"/>
              <w:ind w:left="255" w:hanging="255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Θίγονται τα δικαιώματα ιδιοκτησίας (γη, κινητά αγαθά, υλικά/άυλα στοιχεία </w:t>
            </w:r>
            <w:r w:rsidRPr="00F92DC4">
              <w:rPr>
                <w:rFonts w:ascii="Aptos" w:hAnsi="Aptos" w:cs="Tahoma"/>
              </w:rPr>
              <w:lastRenderedPageBreak/>
              <w:t>ενεργητικού) ή περιορίζεται η αγορά, πώληση ή χρήση των δικαιωμάτων ιδιοκτησίας;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1"/>
              </w:numPr>
              <w:spacing w:after="0" w:line="280" w:lineRule="atLeast"/>
              <w:ind w:left="255" w:hanging="255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Εάν ναι, προκύπτει πλήρης απώλεια ιδιοκτησίας? Δικαιολογείται από την υλοποίηση της δράσης;  Διασφαλίζεται η αποζημίωσή της μέσω μηχανισμών;</w:t>
            </w:r>
          </w:p>
        </w:tc>
        <w:tc>
          <w:tcPr>
            <w:tcW w:w="3118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F92DC4">
        <w:trPr>
          <w:trHeight w:val="152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Ιδιοκτησίας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F92DC4">
        <w:trPr>
          <w:trHeight w:val="993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5" w:right="-10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Ασύλου</w:t>
            </w:r>
          </w:p>
        </w:tc>
        <w:tc>
          <w:tcPr>
            <w:tcW w:w="8081" w:type="dxa"/>
            <w:vMerge w:val="restart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μεταχείριση;</w:t>
            </w:r>
          </w:p>
        </w:tc>
        <w:tc>
          <w:tcPr>
            <w:tcW w:w="3118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Αφορά δράσεις υπέρ προσφύγων / μεταναστών; </w:t>
            </w:r>
          </w:p>
        </w:tc>
      </w:tr>
      <w:tr w:rsidR="007929A2" w:rsidRPr="00F92DC4" w:rsidTr="00EC57B2">
        <w:trPr>
          <w:trHeight w:val="854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Προστασία σε περίπτωση απομάκρυνσης, απέλασης και έκδοσης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Τίτλος ΙΙΙ </w:t>
            </w:r>
            <w:r w:rsidRPr="00F92DC4">
              <w:rPr>
                <w:rFonts w:ascii="Aptos" w:hAnsi="Aptos" w:cs="Tahoma"/>
                <w:b/>
              </w:rPr>
              <w:t>«ΙΣΟΤΗΤΑ»</w:t>
            </w: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Ισότητα έναντι του Νόμου</w:t>
            </w:r>
          </w:p>
        </w:tc>
        <w:tc>
          <w:tcPr>
            <w:tcW w:w="8081" w:type="dxa"/>
            <w:vMerge w:val="restart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Διασφαλίζονται οι αρχές της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4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ισότητας έναντι του νόμου,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4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απαγόρευσης των διακρίσεων,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4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ίσης μεταχείρισης,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4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ισότητας των φύλων,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4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ίσων ευκαιριών για όλους</w:t>
            </w:r>
          </w:p>
        </w:tc>
        <w:tc>
          <w:tcPr>
            <w:tcW w:w="3118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Έχει η δράση (άμεσα ή έμμεσα) διαφορετικό αντίκτυπο στις γυναίκες και στους άντρες;</w:t>
            </w: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Απαγόρευση Διακρίσεων 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Πως προάγει η δράση την ισότητα μεταξύ των γυναικών και ανδρών;</w:t>
            </w:r>
          </w:p>
        </w:tc>
      </w:tr>
      <w:tr w:rsidR="007929A2" w:rsidRPr="00F92DC4" w:rsidTr="00EC57B2">
        <w:trPr>
          <w:trHeight w:val="1115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Πολιτιστική, θρησκευτική και γλωσσική πολυμορφία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Πως συνεπάγεται η δράση τυχόν διαφορετική μεταχείριση ομάδων ή ατόμων λόγω φύλου, φυλετικής ή </w:t>
            </w:r>
            <w:proofErr w:type="spellStart"/>
            <w:r w:rsidRPr="00F92DC4">
              <w:rPr>
                <w:rFonts w:ascii="Aptos" w:hAnsi="Aptos" w:cs="Tahoma"/>
              </w:rPr>
              <w:t>εθνοτικής</w:t>
            </w:r>
            <w:proofErr w:type="spellEnd"/>
            <w:r w:rsidRPr="00F92DC4">
              <w:rPr>
                <w:rFonts w:ascii="Aptos" w:hAnsi="Aptos" w:cs="Tahoma"/>
              </w:rPr>
              <w:t xml:space="preserve"> καταγωγής, θρησκείας ή πεποιθήσεων, αναπηρίας, ηλικίας και γενετήσιου προσανατολισμού Ή μήπως θα  μπορούσε να οδηγήσει σε έμμεσες διακρίσεις; </w:t>
            </w: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Ισότητα γυναικών και ανδρών 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572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Δικαιώματα του παιδιού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Θίγεται η αρχή του υπέρτατου συμφέροντος του παιδιού; </w:t>
            </w:r>
          </w:p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Προάγεται η προστασία των δικαιωμάτων του παιδιού, λαμβάνοντας υπόψη τις αρχές και τα δικαιώματα της Σύμβασης Δικαιωμάτων του Παιδιού των Ηνωμένων Εθνών; 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Ενισχύει ή προασπίζει τα δικαιώματα του παιδιού; </w:t>
            </w: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Δικαιώματα των ηλικιωμένων 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Διασφαλίζονται τα δικαιώματα των ηλικιωμένων; 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Ένταξη των ατόμων με αναπηρίες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Διασφαλίζεται ο σεβασμός των δικαιωμάτων των ατόμων με αναπηρίες, σύμφωνα με τη σύμβαση των Ηνωμένων Εθνών για τα δικαιώματα των ατόμων με αναπηρίες;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510"/>
        </w:trPr>
        <w:tc>
          <w:tcPr>
            <w:tcW w:w="2127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lastRenderedPageBreak/>
              <w:t xml:space="preserve">Τίτλος </w:t>
            </w:r>
            <w:r w:rsidRPr="00F92DC4">
              <w:rPr>
                <w:rFonts w:ascii="Aptos" w:hAnsi="Aptos" w:cs="Tahoma"/>
                <w:lang w:val="en-US"/>
              </w:rPr>
              <w:t>IV</w:t>
            </w:r>
            <w:r w:rsidRPr="00F92DC4">
              <w:rPr>
                <w:rFonts w:ascii="Aptos" w:hAnsi="Aptos" w:cs="Tahoma"/>
              </w:rPr>
              <w:t xml:space="preserve"> </w:t>
            </w:r>
            <w:r w:rsidRPr="00F92DC4">
              <w:rPr>
                <w:rFonts w:ascii="Aptos" w:hAnsi="Aptos" w:cs="Tahoma"/>
                <w:b/>
              </w:rPr>
              <w:t>«ΑΛΛΗΛΕΓΓΥΗ»</w:t>
            </w: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των εργαζομένων στην ενημέρωση και τη διαβούλευση στο πλαίσιο της επιχείρησης</w:t>
            </w:r>
          </w:p>
        </w:tc>
        <w:tc>
          <w:tcPr>
            <w:tcW w:w="8081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Γίνονται σεβαστά τα δικαιώματα των εργαζομένων, όπως :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5"/>
              </w:numPr>
              <w:spacing w:after="0" w:line="280" w:lineRule="atLeast"/>
              <w:ind w:left="541" w:hanging="283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ενημέρωση και διαβούλευση στο πλαίσιο της επιχείρησης,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5"/>
              </w:numPr>
              <w:spacing w:after="0" w:line="280" w:lineRule="atLeast"/>
              <w:ind w:left="541" w:hanging="283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συλλογική διαπραγμάτευσης και συλλογικών δράσεων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5"/>
              </w:numPr>
              <w:spacing w:after="0" w:line="280" w:lineRule="atLeast"/>
              <w:ind w:left="541" w:hanging="283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πρόσβαση στις υπηρεσίες εύρεσης εργασίας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5"/>
              </w:numPr>
              <w:spacing w:after="0" w:line="280" w:lineRule="atLeast"/>
              <w:ind w:left="541" w:hanging="283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προστασία σε περίπτωση αδικαιολόγητης απόλυσης,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5"/>
              </w:numPr>
              <w:spacing w:after="0" w:line="280" w:lineRule="atLeast"/>
              <w:ind w:left="541" w:hanging="283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δίκαιων και πρόσφορών συνθηκών εργασίας,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5"/>
              </w:numPr>
              <w:spacing w:after="0" w:line="280" w:lineRule="atLeast"/>
              <w:ind w:left="541" w:hanging="283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απαγόρευση εργασίας παιδιών και προστασία των νέων στην εργασία,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5"/>
              </w:numPr>
              <w:spacing w:after="0" w:line="280" w:lineRule="atLeast"/>
              <w:ind w:left="541" w:hanging="283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πρόσβαση στις παροχές κοινωνικής ασφάλισης και κοινωνικών υπηρεσιών (υγεία, γενικού οικονομικού ενδιαφέροντος)</w:t>
            </w:r>
          </w:p>
        </w:tc>
        <w:tc>
          <w:tcPr>
            <w:tcW w:w="3118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Δικαίωμα διαπραγμάτευσης και συλλογικών δράσεων 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Δικαίωμα πρόσβασης στις υπηρεσίες ευρέσεως εργασίας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Προστασία σε περιπτώσεις αδικαιολόγητης απόλυσης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Δίκαιες και πρόσφορες συνθήκες εργασίας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Απαγόρευση της εργασίας των παιδιών και προστασία των νέων στην εργασία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Οικογενειακή και επαγγελματική ζωή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Κοινωνική ασφάλιση και κοινωνική αρωγή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Προστασία της υγείας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97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Πρόσβαση στις υπηρεσίες γενικού οικονομικού ενδιαφέροντος 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750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Προστασία του περιβάλλοντος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ανάπτυξης; 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169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Προστασία του καταναλωτή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Υπάρχει συμμόρφωση ως προς την προστασία του καταναλωτή;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40"/>
        </w:trPr>
        <w:tc>
          <w:tcPr>
            <w:tcW w:w="2127" w:type="dxa"/>
            <w:vMerge w:val="restart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Τίτλος </w:t>
            </w:r>
            <w:r w:rsidRPr="00F92DC4">
              <w:rPr>
                <w:rFonts w:ascii="Aptos" w:hAnsi="Aptos" w:cs="Tahoma"/>
                <w:lang w:val="en-US"/>
              </w:rPr>
              <w:t>V</w:t>
            </w:r>
            <w:r w:rsidRPr="00F92DC4">
              <w:rPr>
                <w:rFonts w:ascii="Aptos" w:hAnsi="Aptos" w:cs="Tahoma"/>
              </w:rPr>
              <w:t xml:space="preserve"> </w:t>
            </w:r>
            <w:r w:rsidRPr="00F92DC4">
              <w:rPr>
                <w:rFonts w:ascii="Aptos" w:hAnsi="Aptos" w:cs="Tahoma"/>
                <w:b/>
              </w:rPr>
              <w:t>«ΔΙΚΑΙΩΜΑΤΑ ΤΩΝ ΠΟΛΙΤΩΝ»</w:t>
            </w: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ptos" w:hAnsi="Aptos" w:cs="Tahoma"/>
                <w:strike/>
              </w:rPr>
            </w:pPr>
            <w:r w:rsidRPr="00F92DC4">
              <w:rPr>
                <w:rFonts w:ascii="Aptos" w:hAnsi="Aptos" w:cs="Tahoma"/>
              </w:rPr>
              <w:t>Δικαίωμα χρηστής διοίκησης</w:t>
            </w:r>
          </w:p>
        </w:tc>
        <w:tc>
          <w:tcPr>
            <w:tcW w:w="8081" w:type="dxa"/>
            <w:vMerge w:val="restart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Τα εμπλεκόμενα πρόσωπα δικαιούνται αμερόληπτη, δίκαιη και εντός ευλόγου προθεσμίας την εξέταση υποθέσεών τους από τα θεσμικά και λοιπά όργανα και ιδίως διασφαλίζεται τα δικαίωμα της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6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προηγούμενης ακρόασης πριν τη λήψη μέτρου σε βάρους τους </w:t>
            </w:r>
          </w:p>
          <w:p w:rsidR="007929A2" w:rsidRPr="00F92DC4" w:rsidRDefault="007929A2" w:rsidP="007929A2">
            <w:pPr>
              <w:pStyle w:val="a6"/>
              <w:numPr>
                <w:ilvl w:val="0"/>
                <w:numId w:val="16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πρόσβασης στα σχετικά έγγραφα ή στο φάκελο όπου διατηρούνται, τηρουμένων των νόμιμων συμφερόντων της εμπιστευτικότητας και του επαγγελματικού και επιχειρηματικού απορρήτου.</w:t>
            </w:r>
          </w:p>
          <w:p w:rsidR="007929A2" w:rsidRPr="00F92DC4" w:rsidRDefault="007929A2" w:rsidP="00F92DC4">
            <w:pPr>
              <w:pStyle w:val="a6"/>
              <w:numPr>
                <w:ilvl w:val="0"/>
                <w:numId w:val="16"/>
              </w:numPr>
              <w:spacing w:after="0" w:line="280" w:lineRule="atLeast"/>
              <w:ind w:left="541" w:hanging="283"/>
              <w:contextualSpacing w:val="0"/>
              <w:rPr>
                <w:rFonts w:ascii="Aptos" w:hAnsi="Aptos" w:cs="Tahoma"/>
                <w:strike/>
              </w:rPr>
            </w:pPr>
            <w:r w:rsidRPr="00F92DC4">
              <w:rPr>
                <w:rFonts w:ascii="Aptos" w:hAnsi="Aptos" w:cs="Tahoma"/>
              </w:rPr>
              <w:t xml:space="preserve">Υποχρεώνεται η διοίκηση να αιτιολογεί τις αποφάσεις της 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  <w:strike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  <w:strike/>
              </w:rPr>
            </w:pPr>
          </w:p>
        </w:tc>
      </w:tr>
      <w:tr w:rsidR="007929A2" w:rsidRPr="00F92DC4" w:rsidTr="00F92DC4">
        <w:trPr>
          <w:trHeight w:val="1986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ptos" w:hAnsi="Aptos" w:cs="Tahoma"/>
                <w:strike/>
              </w:rPr>
            </w:pPr>
            <w:r w:rsidRPr="00F92DC4">
              <w:rPr>
                <w:rFonts w:ascii="Aptos" w:hAnsi="Aptos" w:cs="Tahoma"/>
              </w:rPr>
              <w:t>Δικαίωμα πρόσβασης στα έγγραφα</w:t>
            </w:r>
          </w:p>
        </w:tc>
        <w:tc>
          <w:tcPr>
            <w:tcW w:w="8081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412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7929A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Ελευθερία κυκλοφορίας και διαμονής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Θίγεται το δικαίωμα της ελεύθερης κυκλοφορίας των πολιτών στο έδαφος των Κ-Μ; (συμπεριλαμβανομένων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διαμονής)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  <w:tr w:rsidR="007929A2" w:rsidRPr="00F92DC4" w:rsidTr="00EC57B2">
        <w:trPr>
          <w:trHeight w:val="355"/>
        </w:trPr>
        <w:tc>
          <w:tcPr>
            <w:tcW w:w="2127" w:type="dxa"/>
            <w:vMerge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5811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  <w:strike/>
              </w:rPr>
            </w:pPr>
            <w:r w:rsidRPr="00F92DC4">
              <w:rPr>
                <w:rFonts w:ascii="Aptos" w:hAnsi="Aptos" w:cs="Tahoma"/>
              </w:rPr>
              <w:t xml:space="preserve">42. Δικαίωμα πραγματικής προσφυγής και αμερόληπτου δικαστηρίου </w:t>
            </w:r>
          </w:p>
        </w:tc>
        <w:tc>
          <w:tcPr>
            <w:tcW w:w="8081" w:type="dxa"/>
            <w:vAlign w:val="center"/>
          </w:tcPr>
          <w:p w:rsidR="007929A2" w:rsidRPr="00F92DC4" w:rsidRDefault="007929A2" w:rsidP="005577A5">
            <w:pPr>
              <w:spacing w:line="280" w:lineRule="atLeast"/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 xml:space="preserve">Θίγεται το δικαίωμα της προσφυγής των πολιτών στη δικαιοσύνη; </w:t>
            </w:r>
          </w:p>
          <w:p w:rsidR="007929A2" w:rsidRPr="00F92DC4" w:rsidRDefault="007929A2" w:rsidP="005577A5">
            <w:pPr>
              <w:rPr>
                <w:rFonts w:ascii="Aptos" w:hAnsi="Aptos" w:cs="Tahoma"/>
              </w:rPr>
            </w:pPr>
            <w:r w:rsidRPr="00F92DC4">
              <w:rPr>
                <w:rFonts w:ascii="Aptos" w:hAnsi="Aptos" w:cs="Tahoma"/>
              </w:rPr>
              <w:t>Προβλέπεται το δικαίωμα πραγματικής προσφυγής ενώπιον δικαστηρίου, στην περίπτωση που θίγονται δικαιώματα και ελευθερίες;</w:t>
            </w:r>
          </w:p>
        </w:tc>
        <w:tc>
          <w:tcPr>
            <w:tcW w:w="3118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  <w:tc>
          <w:tcPr>
            <w:tcW w:w="3119" w:type="dxa"/>
            <w:vAlign w:val="center"/>
          </w:tcPr>
          <w:p w:rsidR="007929A2" w:rsidRPr="00F92DC4" w:rsidRDefault="007929A2" w:rsidP="005577A5">
            <w:pPr>
              <w:rPr>
                <w:rFonts w:ascii="Aptos" w:hAnsi="Aptos" w:cs="Tahoma"/>
              </w:rPr>
            </w:pPr>
          </w:p>
        </w:tc>
      </w:tr>
    </w:tbl>
    <w:p w:rsidR="007929A2" w:rsidRPr="00EC57B2" w:rsidRDefault="007929A2" w:rsidP="00F92DC4">
      <w:pPr>
        <w:rPr>
          <w:rFonts w:ascii="Aptos" w:hAnsi="Aptos" w:cstheme="minorHAnsi"/>
          <w:b/>
          <w:sz w:val="28"/>
          <w:szCs w:val="28"/>
        </w:rPr>
      </w:pPr>
      <w:r w:rsidRPr="00F92DC4">
        <w:rPr>
          <w:rFonts w:ascii="Aptos" w:hAnsi="Aptos" w:cs="Tahoma"/>
        </w:rPr>
        <w:t xml:space="preserve">Στην περίπτωση που ο χειριστής μιας πράξης (είτε κατά την αξιολόγηση και την επιλογή της, είτε κατά την παρακολούθηση της προόδου της και την επαλήθευση αυτής) έχει υπόνοια/ένδειξη μη συμμόρφωσης σε κάποιο(α) θεμελιώδες δικαίωμα(τα) συμβουλεύεται την </w:t>
      </w:r>
      <w:r w:rsidRPr="00F92DC4">
        <w:rPr>
          <w:rFonts w:ascii="Aptos" w:hAnsi="Aptos" w:cs="Tahoma"/>
          <w:b/>
        </w:rPr>
        <w:t>ΥΠΟΣΤΗΡΙΚΤΙΚΗ</w:t>
      </w:r>
      <w:r w:rsidRPr="00F92DC4">
        <w:rPr>
          <w:rFonts w:ascii="Aptos" w:hAnsi="Aptos" w:cs="Tahoma"/>
        </w:rPr>
        <w:t xml:space="preserve"> </w:t>
      </w:r>
      <w:r w:rsidRPr="00F92DC4">
        <w:rPr>
          <w:rFonts w:ascii="Aptos" w:hAnsi="Aptos" w:cs="Tahoma"/>
          <w:b/>
        </w:rPr>
        <w:t xml:space="preserve">ΛΙΣΤΑ ΣΤΗΝ ΑΞΙΟΛΟΓΗΣΗ ΚΑΙ ΕΠΙΛΟΓΗ ΤΩΝ ΠΡΟΤΑΣΕΩΝ ΚΑΙ ΣΤΗΝ ΕΠΑΛΗΘΕΥΣΗ ΤΩΝ ΠΡΑΞΕΩΝ ΒΑΣΕΙ ΤΟΥ ΧΑΡΤΗ ΘΕΜΕΛΙΩΔΩΝ ΔΙΚΑΙΩΜΑΤΩΝ, </w:t>
      </w:r>
      <w:r w:rsidRPr="00F92DC4">
        <w:rPr>
          <w:rFonts w:ascii="Aptos" w:hAnsi="Aptos" w:cs="Tahoma"/>
        </w:rPr>
        <w:t xml:space="preserve">προκειμένου να καταλήξει στο δικαίωμα/τα που εκτιμά ότι αφορά η υπόνοια/ένδειξη της μη συμμόρφωσης. </w:t>
      </w:r>
    </w:p>
    <w:p w:rsidR="007929A2" w:rsidRPr="00EC57B2" w:rsidRDefault="007929A2" w:rsidP="00B21E01">
      <w:pPr>
        <w:tabs>
          <w:tab w:val="num" w:pos="0"/>
        </w:tabs>
        <w:spacing w:line="220" w:lineRule="atLeast"/>
        <w:jc w:val="center"/>
        <w:rPr>
          <w:rFonts w:ascii="Aptos" w:hAnsi="Aptos" w:cstheme="minorHAnsi"/>
          <w:b/>
          <w:sz w:val="28"/>
          <w:szCs w:val="28"/>
        </w:rPr>
      </w:pPr>
    </w:p>
    <w:sectPr w:rsidR="007929A2" w:rsidRPr="00EC57B2" w:rsidSect="00EC57B2">
      <w:pgSz w:w="23811" w:h="16838" w:orient="landscape" w:code="8"/>
      <w:pgMar w:top="1276" w:right="1262" w:bottom="720" w:left="1560" w:header="415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8B3" w:rsidRDefault="007128B3" w:rsidP="0082003B">
      <w:pPr>
        <w:spacing w:after="0" w:line="240" w:lineRule="auto"/>
      </w:pPr>
      <w:r>
        <w:separator/>
      </w:r>
    </w:p>
  </w:endnote>
  <w:endnote w:type="continuationSeparator" w:id="0">
    <w:p w:rsidR="007128B3" w:rsidRDefault="007128B3" w:rsidP="00820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18975"/>
      <w:docPartObj>
        <w:docPartGallery w:val="Page Numbers (Bottom of Page)"/>
        <w:docPartUnique/>
      </w:docPartObj>
    </w:sdtPr>
    <w:sdtContent>
      <w:p w:rsidR="003B65ED" w:rsidRDefault="00D97443">
        <w:pPr>
          <w:pStyle w:val="ab"/>
          <w:jc w:val="right"/>
        </w:pPr>
        <w:r>
          <w:fldChar w:fldCharType="begin"/>
        </w:r>
        <w:r w:rsidR="003B65ED">
          <w:instrText>PAGE   \* MERGEFORMAT</w:instrText>
        </w:r>
        <w:r>
          <w:fldChar w:fldCharType="separate"/>
        </w:r>
        <w:r w:rsidR="003370D9">
          <w:rPr>
            <w:noProof/>
          </w:rPr>
          <w:t>4</w:t>
        </w:r>
        <w:r>
          <w:fldChar w:fldCharType="end"/>
        </w:r>
      </w:p>
    </w:sdtContent>
  </w:sdt>
  <w:p w:rsidR="0082003B" w:rsidRDefault="00B84542" w:rsidP="00B84542">
    <w:pPr>
      <w:pStyle w:val="ab"/>
      <w:jc w:val="center"/>
    </w:pPr>
    <w:r>
      <w:rPr>
        <w:noProof/>
      </w:rPr>
      <w:drawing>
        <wp:inline distT="0" distB="0" distL="0" distR="0">
          <wp:extent cx="3542893" cy="790523"/>
          <wp:effectExtent l="0" t="0" r="635" b="0"/>
          <wp:docPr id="392500334" name="Εικόνα 1" descr="Εικόνα που περιέχει κείμενο, γραμματοσειρά, λογότυπο, στιγμιότυπο οθόνης&#10;&#10;Το περιεχόμενο που δημιουργείται από τεχνολογία AI ενδέχεται να είναι εσφαλμένο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5061568" name="Εικόνα 1" descr="Εικόνα που περιέχει κείμενο, γραμματοσειρά, λογότυπο, στιγμιότυπο οθόνης&#10;&#10;Το περιεχόμενο που δημιουργείται από τεχνολογία AI ενδέχεται να είναι εσφαλμένο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0346" cy="7966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8B3" w:rsidRDefault="007128B3" w:rsidP="0082003B">
      <w:pPr>
        <w:spacing w:after="0" w:line="240" w:lineRule="auto"/>
      </w:pPr>
      <w:r>
        <w:separator/>
      </w:r>
    </w:p>
  </w:footnote>
  <w:footnote w:type="continuationSeparator" w:id="0">
    <w:p w:rsidR="007128B3" w:rsidRDefault="007128B3" w:rsidP="00820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90EAA74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826"/>
        </w:tabs>
        <w:ind w:left="826" w:hanging="360"/>
      </w:pPr>
    </w:lvl>
    <w:lvl w:ilvl="2">
      <w:start w:val="1"/>
      <w:numFmt w:val="decimal"/>
      <w:lvlText w:val="%3."/>
      <w:lvlJc w:val="left"/>
      <w:pPr>
        <w:tabs>
          <w:tab w:val="num" w:pos="1480"/>
        </w:tabs>
        <w:ind w:left="1480" w:hanging="360"/>
      </w:pPr>
    </w:lvl>
    <w:lvl w:ilvl="3">
      <w:start w:val="1"/>
      <w:numFmt w:val="decimal"/>
      <w:lvlText w:val="%4."/>
      <w:lvlJc w:val="left"/>
      <w:pPr>
        <w:tabs>
          <w:tab w:val="num" w:pos="1840"/>
        </w:tabs>
        <w:ind w:left="1840" w:hanging="360"/>
      </w:pPr>
    </w:lvl>
    <w:lvl w:ilvl="4">
      <w:start w:val="1"/>
      <w:numFmt w:val="decimal"/>
      <w:lvlText w:val="%5."/>
      <w:lvlJc w:val="left"/>
      <w:pPr>
        <w:tabs>
          <w:tab w:val="num" w:pos="2200"/>
        </w:tabs>
        <w:ind w:left="2200" w:hanging="360"/>
      </w:pPr>
    </w:lvl>
    <w:lvl w:ilvl="5">
      <w:start w:val="1"/>
      <w:numFmt w:val="decimal"/>
      <w:lvlText w:val="%6."/>
      <w:lvlJc w:val="left"/>
      <w:pPr>
        <w:tabs>
          <w:tab w:val="num" w:pos="2560"/>
        </w:tabs>
        <w:ind w:left="2560" w:hanging="360"/>
      </w:pPr>
    </w:lvl>
    <w:lvl w:ilvl="6">
      <w:start w:val="1"/>
      <w:numFmt w:val="decimal"/>
      <w:lvlText w:val="%7."/>
      <w:lvlJc w:val="left"/>
      <w:pPr>
        <w:tabs>
          <w:tab w:val="num" w:pos="2920"/>
        </w:tabs>
        <w:ind w:left="2920" w:hanging="360"/>
      </w:pPr>
    </w:lvl>
    <w:lvl w:ilvl="7">
      <w:start w:val="1"/>
      <w:numFmt w:val="decimal"/>
      <w:lvlText w:val="%8."/>
      <w:lvlJc w:val="left"/>
      <w:pPr>
        <w:tabs>
          <w:tab w:val="num" w:pos="3280"/>
        </w:tabs>
        <w:ind w:left="3280" w:hanging="360"/>
      </w:pPr>
    </w:lvl>
    <w:lvl w:ilvl="8">
      <w:start w:val="1"/>
      <w:numFmt w:val="decimal"/>
      <w:lvlText w:val="%9."/>
      <w:lvlJc w:val="left"/>
      <w:pPr>
        <w:tabs>
          <w:tab w:val="num" w:pos="3640"/>
        </w:tabs>
        <w:ind w:left="3640" w:hanging="360"/>
      </w:pPr>
    </w:lvl>
  </w:abstractNum>
  <w:abstractNum w:abstractNumId="1">
    <w:nsid w:val="027155DB"/>
    <w:multiLevelType w:val="multilevel"/>
    <w:tmpl w:val="B874DA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>
    <w:nsid w:val="034F13AC"/>
    <w:multiLevelType w:val="hybridMultilevel"/>
    <w:tmpl w:val="97CCE7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051F9"/>
    <w:multiLevelType w:val="hybridMultilevel"/>
    <w:tmpl w:val="5D30678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DA72E1"/>
    <w:multiLevelType w:val="hybridMultilevel"/>
    <w:tmpl w:val="0632265A"/>
    <w:lvl w:ilvl="0" w:tplc="A87646D4">
      <w:start w:val="1"/>
      <w:numFmt w:val="decimal"/>
      <w:lvlText w:val="%1."/>
      <w:lvlJc w:val="left"/>
      <w:pPr>
        <w:ind w:hanging="272"/>
      </w:pPr>
      <w:rPr>
        <w:rFonts w:ascii="Calibri" w:eastAsia="Calibri" w:hAnsi="Calibri" w:hint="default"/>
        <w:w w:val="99"/>
        <w:sz w:val="24"/>
        <w:szCs w:val="24"/>
      </w:rPr>
    </w:lvl>
    <w:lvl w:ilvl="1" w:tplc="B04E489C">
      <w:start w:val="1"/>
      <w:numFmt w:val="bullet"/>
      <w:lvlText w:val="•"/>
      <w:lvlJc w:val="left"/>
      <w:pPr>
        <w:ind w:hanging="128"/>
      </w:pPr>
      <w:rPr>
        <w:rFonts w:ascii="Arial" w:eastAsia="Arial" w:hAnsi="Arial" w:hint="default"/>
        <w:color w:val="212121"/>
        <w:w w:val="99"/>
        <w:sz w:val="20"/>
        <w:szCs w:val="20"/>
      </w:rPr>
    </w:lvl>
    <w:lvl w:ilvl="2" w:tplc="FA3C6250">
      <w:start w:val="1"/>
      <w:numFmt w:val="bullet"/>
      <w:lvlText w:val="•"/>
      <w:lvlJc w:val="left"/>
      <w:rPr>
        <w:rFonts w:hint="default"/>
      </w:rPr>
    </w:lvl>
    <w:lvl w:ilvl="3" w:tplc="057016A0">
      <w:start w:val="1"/>
      <w:numFmt w:val="bullet"/>
      <w:lvlText w:val="•"/>
      <w:lvlJc w:val="left"/>
      <w:rPr>
        <w:rFonts w:hint="default"/>
      </w:rPr>
    </w:lvl>
    <w:lvl w:ilvl="4" w:tplc="3BA81248">
      <w:start w:val="1"/>
      <w:numFmt w:val="bullet"/>
      <w:lvlText w:val="•"/>
      <w:lvlJc w:val="left"/>
      <w:rPr>
        <w:rFonts w:hint="default"/>
      </w:rPr>
    </w:lvl>
    <w:lvl w:ilvl="5" w:tplc="B26E91EE">
      <w:start w:val="1"/>
      <w:numFmt w:val="bullet"/>
      <w:lvlText w:val="•"/>
      <w:lvlJc w:val="left"/>
      <w:rPr>
        <w:rFonts w:hint="default"/>
      </w:rPr>
    </w:lvl>
    <w:lvl w:ilvl="6" w:tplc="F89E8D94">
      <w:start w:val="1"/>
      <w:numFmt w:val="bullet"/>
      <w:lvlText w:val="•"/>
      <w:lvlJc w:val="left"/>
      <w:rPr>
        <w:rFonts w:hint="default"/>
      </w:rPr>
    </w:lvl>
    <w:lvl w:ilvl="7" w:tplc="E0FA79E4">
      <w:start w:val="1"/>
      <w:numFmt w:val="bullet"/>
      <w:lvlText w:val="•"/>
      <w:lvlJc w:val="left"/>
      <w:rPr>
        <w:rFonts w:hint="default"/>
      </w:rPr>
    </w:lvl>
    <w:lvl w:ilvl="8" w:tplc="C3F63D5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04C4018C"/>
    <w:multiLevelType w:val="hybridMultilevel"/>
    <w:tmpl w:val="E80CA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B1202"/>
    <w:multiLevelType w:val="hybridMultilevel"/>
    <w:tmpl w:val="FA90FC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760F9"/>
    <w:multiLevelType w:val="hybridMultilevel"/>
    <w:tmpl w:val="8CC271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504C8"/>
    <w:multiLevelType w:val="hybridMultilevel"/>
    <w:tmpl w:val="4E3606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2728D"/>
    <w:multiLevelType w:val="hybridMultilevel"/>
    <w:tmpl w:val="9296F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101873"/>
    <w:multiLevelType w:val="hybridMultilevel"/>
    <w:tmpl w:val="E2FEAF52"/>
    <w:lvl w:ilvl="0" w:tplc="53B8442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D074C"/>
    <w:multiLevelType w:val="hybridMultilevel"/>
    <w:tmpl w:val="32A084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2128E3"/>
    <w:multiLevelType w:val="hybridMultilevel"/>
    <w:tmpl w:val="FEB4D7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1C13FF"/>
    <w:multiLevelType w:val="hybridMultilevel"/>
    <w:tmpl w:val="8CBEFD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81258A"/>
    <w:multiLevelType w:val="hybridMultilevel"/>
    <w:tmpl w:val="2EE21E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B91BE8"/>
    <w:multiLevelType w:val="hybridMultilevel"/>
    <w:tmpl w:val="780014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8"/>
  </w:num>
  <w:num w:numId="10">
    <w:abstractNumId w:val="13"/>
  </w:num>
  <w:num w:numId="11">
    <w:abstractNumId w:val="9"/>
  </w:num>
  <w:num w:numId="12">
    <w:abstractNumId w:val="2"/>
  </w:num>
  <w:num w:numId="13">
    <w:abstractNumId w:val="15"/>
  </w:num>
  <w:num w:numId="14">
    <w:abstractNumId w:val="11"/>
  </w:num>
  <w:num w:numId="15">
    <w:abstractNumId w:val="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48C"/>
    <w:rsid w:val="000507BC"/>
    <w:rsid w:val="00061A01"/>
    <w:rsid w:val="000A337B"/>
    <w:rsid w:val="000F0AC0"/>
    <w:rsid w:val="0019167E"/>
    <w:rsid w:val="001B1952"/>
    <w:rsid w:val="0027404C"/>
    <w:rsid w:val="00320D8E"/>
    <w:rsid w:val="003370D9"/>
    <w:rsid w:val="003B65ED"/>
    <w:rsid w:val="0042219E"/>
    <w:rsid w:val="00465F80"/>
    <w:rsid w:val="00477D4F"/>
    <w:rsid w:val="004C68C2"/>
    <w:rsid w:val="004E7F44"/>
    <w:rsid w:val="005A5809"/>
    <w:rsid w:val="005A64B9"/>
    <w:rsid w:val="00614665"/>
    <w:rsid w:val="00670556"/>
    <w:rsid w:val="006A5049"/>
    <w:rsid w:val="006A73C3"/>
    <w:rsid w:val="006B47F0"/>
    <w:rsid w:val="006B7574"/>
    <w:rsid w:val="006F5FC6"/>
    <w:rsid w:val="007128B3"/>
    <w:rsid w:val="007366D3"/>
    <w:rsid w:val="0075684D"/>
    <w:rsid w:val="0076046C"/>
    <w:rsid w:val="007929A2"/>
    <w:rsid w:val="007D0E93"/>
    <w:rsid w:val="007F04F4"/>
    <w:rsid w:val="00810301"/>
    <w:rsid w:val="008135BE"/>
    <w:rsid w:val="0082003B"/>
    <w:rsid w:val="0082679E"/>
    <w:rsid w:val="00835479"/>
    <w:rsid w:val="0086578B"/>
    <w:rsid w:val="00885E01"/>
    <w:rsid w:val="008B1530"/>
    <w:rsid w:val="008D1F9A"/>
    <w:rsid w:val="008E38C9"/>
    <w:rsid w:val="00942F9D"/>
    <w:rsid w:val="00983203"/>
    <w:rsid w:val="009E0398"/>
    <w:rsid w:val="00A60A53"/>
    <w:rsid w:val="00A70E35"/>
    <w:rsid w:val="00AA7547"/>
    <w:rsid w:val="00B21E01"/>
    <w:rsid w:val="00B54A44"/>
    <w:rsid w:val="00B84542"/>
    <w:rsid w:val="00BE0BFF"/>
    <w:rsid w:val="00BE4EA9"/>
    <w:rsid w:val="00C2657E"/>
    <w:rsid w:val="00C52C39"/>
    <w:rsid w:val="00C76AE4"/>
    <w:rsid w:val="00C90B6F"/>
    <w:rsid w:val="00D13292"/>
    <w:rsid w:val="00D807AB"/>
    <w:rsid w:val="00D97443"/>
    <w:rsid w:val="00E46753"/>
    <w:rsid w:val="00E6748C"/>
    <w:rsid w:val="00E724AA"/>
    <w:rsid w:val="00E73CF0"/>
    <w:rsid w:val="00E90F88"/>
    <w:rsid w:val="00EC57B2"/>
    <w:rsid w:val="00EE40BA"/>
    <w:rsid w:val="00F125BB"/>
    <w:rsid w:val="00F4287A"/>
    <w:rsid w:val="00F5250F"/>
    <w:rsid w:val="00F92DC4"/>
    <w:rsid w:val="00FC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44"/>
    <w:pPr>
      <w:spacing w:after="200" w:line="276" w:lineRule="auto"/>
    </w:pPr>
    <w:rPr>
      <w:rFonts w:eastAsiaTheme="minorEastAsia"/>
      <w:kern w:val="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E674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67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674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674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674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674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674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674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674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674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E674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E674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E6748C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E6748C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E6748C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E6748C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E6748C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E6748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674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E67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67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E67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67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E6748C"/>
    <w:rPr>
      <w:i/>
      <w:iCs/>
      <w:color w:val="404040" w:themeColor="text1" w:themeTint="BF"/>
    </w:rPr>
  </w:style>
  <w:style w:type="paragraph" w:styleId="a6">
    <w:name w:val="List Paragraph"/>
    <w:aliases w:val="Liste à puces retrait droite,Bullet List,Γράφημα,Bullet21,Bullet22,Bullet23,Bullet211,Bullet24,Bullet25,Bullet26,Bullet27,bl11,Bullet212,Bullet28,bl12,Bullet213,Bullet29,bl13,Bullet214,Bullet210,Bullet215,Itemize,List1,Επικεφαλίδα_Cv"/>
    <w:basedOn w:val="a"/>
    <w:link w:val="Char2"/>
    <w:uiPriority w:val="34"/>
    <w:qFormat/>
    <w:rsid w:val="00E6748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6748C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E674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Έντονο εισαγωγικό Char"/>
    <w:basedOn w:val="a0"/>
    <w:link w:val="a8"/>
    <w:uiPriority w:val="30"/>
    <w:rsid w:val="00E6748C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E6748C"/>
    <w:rPr>
      <w:b/>
      <w:bCs/>
      <w:smallCaps/>
      <w:color w:val="2F5496" w:themeColor="accent1" w:themeShade="BF"/>
      <w:spacing w:val="5"/>
    </w:rPr>
  </w:style>
  <w:style w:type="character" w:customStyle="1" w:styleId="Char2">
    <w:name w:val="Παράγραφος λίστας Char"/>
    <w:aliases w:val="Liste à puces retrait droite Char,Bullet List Char,Γράφημα Char,Bullet21 Char,Bullet22 Char,Bullet23 Char,Bullet211 Char,Bullet24 Char,Bullet25 Char,Bullet26 Char,Bullet27 Char,bl11 Char,Bullet212 Char,Bullet28 Char,bl12 Char"/>
    <w:link w:val="a6"/>
    <w:uiPriority w:val="34"/>
    <w:locked/>
    <w:rsid w:val="00B54A44"/>
  </w:style>
  <w:style w:type="paragraph" w:styleId="aa">
    <w:name w:val="header"/>
    <w:basedOn w:val="a"/>
    <w:link w:val="Char4"/>
    <w:uiPriority w:val="99"/>
    <w:unhideWhenUsed/>
    <w:rsid w:val="008200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Κεφαλίδα Char"/>
    <w:basedOn w:val="a0"/>
    <w:link w:val="aa"/>
    <w:uiPriority w:val="99"/>
    <w:rsid w:val="0082003B"/>
    <w:rPr>
      <w:rFonts w:eastAsiaTheme="minorEastAsia"/>
      <w:kern w:val="0"/>
      <w:lang w:eastAsia="el-GR"/>
    </w:rPr>
  </w:style>
  <w:style w:type="paragraph" w:styleId="ab">
    <w:name w:val="footer"/>
    <w:basedOn w:val="a"/>
    <w:link w:val="Char5"/>
    <w:uiPriority w:val="99"/>
    <w:unhideWhenUsed/>
    <w:rsid w:val="008200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5">
    <w:name w:val="Υποσέλιδο Char"/>
    <w:basedOn w:val="a0"/>
    <w:link w:val="ab"/>
    <w:uiPriority w:val="99"/>
    <w:rsid w:val="0082003B"/>
    <w:rPr>
      <w:rFonts w:eastAsiaTheme="minorEastAsia"/>
      <w:kern w:val="0"/>
      <w:lang w:eastAsia="el-GR"/>
    </w:rPr>
  </w:style>
  <w:style w:type="table" w:styleId="ac">
    <w:name w:val="Table Grid"/>
    <w:basedOn w:val="a1"/>
    <w:uiPriority w:val="59"/>
    <w:rsid w:val="00BE4EA9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Char6"/>
    <w:rsid w:val="00C2657E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Char6">
    <w:name w:val="Σώμα κειμένου Char"/>
    <w:basedOn w:val="a0"/>
    <w:link w:val="ad"/>
    <w:rsid w:val="00C2657E"/>
    <w:rPr>
      <w:rFonts w:ascii="Arial" w:eastAsia="Times New Roman" w:hAnsi="Arial" w:cs="Times New Roman"/>
      <w:kern w:val="0"/>
      <w:sz w:val="24"/>
      <w:szCs w:val="20"/>
      <w:lang w:eastAsia="el-GR"/>
    </w:rPr>
  </w:style>
  <w:style w:type="character" w:customStyle="1" w:styleId="FontStyle42">
    <w:name w:val="Font Style42"/>
    <w:rsid w:val="00C2657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C2657E"/>
    <w:pPr>
      <w:suppressAutoHyphens/>
      <w:spacing w:after="0" w:line="266" w:lineRule="exac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8">
    <w:name w:val="Style8"/>
    <w:basedOn w:val="a"/>
    <w:rsid w:val="00C2657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9">
    <w:name w:val="Style9"/>
    <w:basedOn w:val="a"/>
    <w:rsid w:val="00C2657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1">
    <w:name w:val="Επικεφαλίδα 11"/>
    <w:basedOn w:val="a"/>
    <w:uiPriority w:val="1"/>
    <w:qFormat/>
    <w:rsid w:val="00C2657E"/>
    <w:pPr>
      <w:widowControl w:val="0"/>
      <w:spacing w:after="0" w:line="240" w:lineRule="auto"/>
      <w:ind w:left="875"/>
      <w:outlineLvl w:val="1"/>
    </w:pPr>
    <w:rPr>
      <w:rFonts w:ascii="Arial" w:eastAsia="Arial" w:hAnsi="Arial"/>
      <w:sz w:val="28"/>
      <w:szCs w:val="28"/>
      <w:lang w:val="en-US" w:eastAsia="en-US"/>
    </w:rPr>
  </w:style>
  <w:style w:type="paragraph" w:customStyle="1" w:styleId="21">
    <w:name w:val="Επικεφαλίδα 21"/>
    <w:basedOn w:val="a"/>
    <w:uiPriority w:val="1"/>
    <w:qFormat/>
    <w:rsid w:val="00C2657E"/>
    <w:pPr>
      <w:widowControl w:val="0"/>
      <w:spacing w:after="0" w:line="240" w:lineRule="auto"/>
      <w:ind w:left="119"/>
      <w:outlineLvl w:val="2"/>
    </w:pPr>
    <w:rPr>
      <w:rFonts w:ascii="Times New Roman" w:eastAsia="Times New Roman" w:hAnsi="Times New Roman"/>
      <w:sz w:val="25"/>
      <w:szCs w:val="25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2657E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e">
    <w:name w:val="Balloon Text"/>
    <w:basedOn w:val="a"/>
    <w:link w:val="Char7"/>
    <w:uiPriority w:val="99"/>
    <w:semiHidden/>
    <w:unhideWhenUsed/>
    <w:rsid w:val="006F5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7">
    <w:name w:val="Κείμενο πλαισίου Char"/>
    <w:basedOn w:val="a0"/>
    <w:link w:val="ae"/>
    <w:uiPriority w:val="99"/>
    <w:semiHidden/>
    <w:rsid w:val="006F5FC6"/>
    <w:rPr>
      <w:rFonts w:ascii="Tahoma" w:eastAsiaTheme="minorEastAsia" w:hAnsi="Tahoma" w:cs="Tahoma"/>
      <w:kern w:val="0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1255</Words>
  <Characters>6781</Characters>
  <Application>Microsoft Office Word</Application>
  <DocSecurity>0</DocSecurity>
  <Lines>56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 PELLAS02</dc:creator>
  <cp:keywords/>
  <dc:description/>
  <cp:lastModifiedBy>Windows 10</cp:lastModifiedBy>
  <cp:revision>18</cp:revision>
  <dcterms:created xsi:type="dcterms:W3CDTF">2025-06-16T08:11:00Z</dcterms:created>
  <dcterms:modified xsi:type="dcterms:W3CDTF">2026-07-07T11:17:00Z</dcterms:modified>
</cp:coreProperties>
</file>